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entury Gothic" w:hAnsi="Century Gothic" w:cs="Century Gothic"/>
          <w:b/>
          <w:b/>
          <w:lang w:val="es-BO" w:eastAsia="es-BO"/>
        </w:rPr>
      </w:pPr>
      <w:r>
        <w:rPr>
          <w:lang w:val="es-BO" w:eastAsia="es-BO"/>
        </w:rPr>
        <w:drawing>
          <wp:inline distT="0" distB="0" distL="0" distR="0">
            <wp:extent cx="3486150" cy="856615"/>
            <wp:effectExtent l="0" t="0" r="0" b="0"/>
            <wp:docPr id="1" name="Imagen 18971663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89716634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" t="9663" r="-10" b="10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entury Gothic" w:hAnsi="Century Gothic" w:cs="Century Gothic"/>
          <w:b/>
          <w:b/>
          <w:sz w:val="10"/>
          <w:lang w:val="es-BO" w:eastAsia="es-BO"/>
        </w:rPr>
      </w:pPr>
      <w:r>
        <w:rPr>
          <w:rFonts w:cs="Century Gothic" w:ascii="Century Gothic" w:hAnsi="Century Gothic"/>
          <w:b/>
          <w:sz w:val="10"/>
          <w:lang w:val="es-BO" w:eastAsia="es-BO"/>
        </w:rPr>
      </w:r>
    </w:p>
    <w:p>
      <w:pPr>
        <w:pStyle w:val="Normal"/>
        <w:jc w:val="center"/>
        <w:rPr>
          <w:rFonts w:ascii="Century Gothic" w:hAnsi="Century Gothic" w:cs="Century Gothic"/>
          <w:b/>
          <w:b/>
          <w:sz w:val="10"/>
          <w:lang w:val="es-BO" w:eastAsia="es-BO"/>
        </w:rPr>
      </w:pPr>
      <w:r>
        <w:rPr>
          <w:rFonts w:cs="Century Gothic" w:ascii="Century Gothic" w:hAnsi="Century Gothic"/>
          <w:b/>
          <w:sz w:val="10"/>
          <w:lang w:val="es-BO" w:eastAsia="es-BO"/>
        </w:rPr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>ENTIDAD EJECUTORA DE CONVERSIÓN A GAS NATURAL VEHICULAR “EEC-GNV”</w:t>
      </w:r>
    </w:p>
    <w:p>
      <w:pPr>
        <w:pStyle w:val="Normal"/>
        <w:jc w:val="center"/>
        <w:rPr>
          <w:rFonts w:ascii="Century Gothic" w:hAnsi="Century Gothic" w:cs="Century Gothic"/>
          <w:b/>
          <w:b/>
          <w:lang w:val="es-BO" w:eastAsia="es-BO"/>
        </w:rPr>
      </w:pPr>
      <w:r>
        <w:rPr>
          <w:rFonts w:cs="Century Gothic" w:ascii="Century Gothic" w:hAnsi="Century Gothic"/>
          <w:b/>
          <w:lang w:val="es-BO" w:eastAsia="es-BO"/>
        </w:rPr>
        <mc:AlternateContent>
          <mc:Choice Requires="wps">
            <w:drawing>
              <wp:anchor behindDoc="0" distT="0" distB="0" distL="114935" distR="114935" simplePos="0" locked="0" layoutInCell="0" allowOverlap="1" relativeHeight="3">
                <wp:simplePos x="0" y="0"/>
                <wp:positionH relativeFrom="column">
                  <wp:posOffset>37465</wp:posOffset>
                </wp:positionH>
                <wp:positionV relativeFrom="paragraph">
                  <wp:posOffset>60325</wp:posOffset>
                </wp:positionV>
                <wp:extent cx="6547485" cy="0"/>
                <wp:effectExtent l="0" t="5080" r="0" b="5080"/>
                <wp:wrapNone/>
                <wp:docPr id="2" name="1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73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4a7ebb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4.75pt" to="518.45pt,4.75pt" ID="1 Conector recto" stroked="t" o:allowincell="f" style="position:absolute">
                <v:stroke color="#4a7ebb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 xml:space="preserve">INVITACIÓN PÚBLICA A EMPRESAS NACIONALES </w:t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 xml:space="preserve">PARA PRESENTACIÓN DE </w:t>
      </w:r>
      <w:bookmarkStart w:id="0" w:name="_Hlk190435873"/>
      <w:r>
        <w:rPr>
          <w:rFonts w:cs="Century Gothic" w:ascii="Century Gothic" w:hAnsi="Century Gothic"/>
          <w:b/>
        </w:rPr>
        <w:t xml:space="preserve">PROPUESTAS </w:t>
      </w:r>
    </w:p>
    <w:p>
      <w:pPr>
        <w:pStyle w:val="Normal"/>
        <w:jc w:val="center"/>
        <w:rPr>
          <w:rFonts w:ascii="Century Gothic" w:hAnsi="Century Gothic" w:cs="Century Gothic"/>
          <w:b/>
          <w:b/>
        </w:rPr>
      </w:pPr>
      <w:r>
        <w:rPr>
          <w:rFonts w:cs="Century Gothic" w:ascii="Century Gothic" w:hAnsi="Century Gothic"/>
          <w:b/>
        </w:rPr>
        <w:t>GESTIÓN 2026</w:t>
      </w:r>
    </w:p>
    <w:p>
      <w:pPr>
        <w:pStyle w:val="Normal"/>
        <w:jc w:val="center"/>
        <w:rPr/>
      </w:pPr>
      <w:r>
        <w:rPr>
          <w:rFonts w:cs="Century Gothic" w:ascii="Century Gothic" w:hAnsi="Century Gothic"/>
          <w:b/>
        </w:rPr>
        <w:t>“</w:t>
      </w:r>
      <w:r>
        <w:rPr>
          <w:rFonts w:cs="Century Gothic" w:ascii="Century Gothic" w:hAnsi="Century Gothic"/>
          <w:b/>
        </w:rPr>
        <w:t>ADQUISICIÓN DE CILINDROS PARA GNV DE DISTINTAS CAPACIDADES”</w:t>
      </w:r>
    </w:p>
    <w:p>
      <w:pPr>
        <w:pStyle w:val="Normal"/>
        <w:jc w:val="center"/>
        <w:rPr>
          <w:rFonts w:ascii="Century Gothic" w:hAnsi="Century Gothic" w:cs="Century Gothic"/>
          <w:b/>
          <w:b/>
          <w:lang w:val="es-BO"/>
        </w:rPr>
      </w:pPr>
      <w:bookmarkStart w:id="1" w:name="_Hlk190338424"/>
      <w:bookmarkEnd w:id="1"/>
      <w:r>
        <w:rPr>
          <w:rFonts w:cs="Century Gothic" w:ascii="Century Gothic" w:hAnsi="Century Gothic"/>
          <w:b/>
          <w:lang w:val="es-BO"/>
        </w:rPr>
        <w:t>EEC-GNV-CDBE-Nº 002/2026</w:t>
      </w:r>
    </w:p>
    <w:p>
      <w:pPr>
        <w:pStyle w:val="Normal"/>
        <w:jc w:val="both"/>
        <w:rPr>
          <w:rFonts w:ascii="Century Gothic" w:hAnsi="Century Gothic" w:cs="Century Gothic"/>
          <w:b/>
          <w:b/>
          <w:sz w:val="16"/>
          <w:lang w:val="es-BO"/>
        </w:rPr>
      </w:pPr>
      <w:r>
        <w:rPr>
          <w:rFonts w:cs="Century Gothic" w:ascii="Century Gothic" w:hAnsi="Century Gothic"/>
          <w:b/>
          <w:sz w:val="16"/>
          <w:lang w:val="es-BO"/>
        </w:rPr>
      </w:r>
      <w:bookmarkStart w:id="2" w:name="_Hlk190338424"/>
      <w:bookmarkStart w:id="3" w:name="_Hlk190338424"/>
      <w:bookmarkEnd w:id="0"/>
      <w:bookmarkEnd w:id="3"/>
    </w:p>
    <w:p>
      <w:pPr>
        <w:pStyle w:val="Normal"/>
        <w:ind w:left="360" w:hanging="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cs="Century Gothic" w:ascii="Century Gothic" w:hAnsi="Century Gothic"/>
          <w:sz w:val="18"/>
          <w:szCs w:val="18"/>
        </w:rPr>
        <w:t xml:space="preserve">La Entidad Ejecutora de Conversión a Gas Natural Vehicular creada mediante </w:t>
      </w:r>
      <w:r>
        <w:rPr>
          <w:rFonts w:cs="Arial" w:ascii="Century Gothic" w:hAnsi="Century Gothic"/>
          <w:sz w:val="18"/>
          <w:szCs w:val="18"/>
        </w:rPr>
        <w:t>Decreto Supremo N° 0675 de 20 de octubre de 2010,</w:t>
      </w:r>
      <w:r>
        <w:rPr>
          <w:rFonts w:cs="Century Gothic" w:ascii="Century Gothic" w:hAnsi="Century Gothic"/>
          <w:sz w:val="18"/>
          <w:szCs w:val="18"/>
        </w:rPr>
        <w:t xml:space="preserve"> en el marco de la normativa que rige su funcionamiento, invita públicamente a empresas nacionales legalmente establecidas en Bolivia a presentar sus propuestas.</w:t>
      </w:r>
    </w:p>
    <w:p>
      <w:pPr>
        <w:pStyle w:val="Normal"/>
        <w:ind w:left="360" w:hanging="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eastAsia="Century Gothic" w:cs="Century Gothic" w:ascii="Century Gothic" w:hAnsi="Century Gothic"/>
          <w:sz w:val="18"/>
          <w:szCs w:val="18"/>
        </w:rPr>
        <w:t xml:space="preserve"> </w:t>
      </w:r>
    </w:p>
    <w:p>
      <w:pPr>
        <w:pStyle w:val="Prrafodelista"/>
        <w:numPr>
          <w:ilvl w:val="0"/>
          <w:numId w:val="2"/>
        </w:numPr>
        <w:jc w:val="both"/>
        <w:rPr>
          <w:rFonts w:ascii="Century Gothic" w:hAnsi="Century Gothic" w:cs="Century Gothic"/>
          <w:sz w:val="18"/>
          <w:szCs w:val="18"/>
          <w:lang w:val="es-MX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OBJETIVO: </w:t>
      </w:r>
      <w:r>
        <w:rPr>
          <w:rFonts w:cs="Century Gothic" w:ascii="Century Gothic" w:hAnsi="Century Gothic"/>
          <w:sz w:val="18"/>
          <w:szCs w:val="18"/>
          <w:lang w:val="es-MX"/>
        </w:rPr>
        <w:t>En  atención,  al Título III CONTRATACIÓN DIRECTA DE BIENES Y SERVICIOS ESPECIALIZADOS DE TALLERES, Capitulo IV Modalidades de Contratación, Artículo 30 del Reglamento Específico para la Contratación Directa de Bienes y Servicios de Talleres Especializados para los Programas de Conversión a GNV, Mantenimiento de Equipos para GNV y de Recalificación y Reposición de Cilindros para GNV", aprobado mediante Resolución Ministerial N° 092-2026 de 5 de mayo de 2026, se debe realizar la adquisición de Kits y Cilindros para GNV, bajo la modalidad de comparación de propuestas.</w:t>
      </w:r>
    </w:p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b/>
          <w:b/>
          <w:sz w:val="18"/>
          <w:szCs w:val="18"/>
          <w:lang w:val="es-ES_tradnl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PLAZO LÍMITE PARA LA PRESENTACIÓN DE LAS PROPUESTAS: </w:t>
      </w:r>
    </w:p>
    <w:p>
      <w:pPr>
        <w:pStyle w:val="Normal"/>
        <w:jc w:val="both"/>
        <w:rPr>
          <w:rFonts w:ascii="Century Gothic" w:hAnsi="Century Gothic" w:cs="Century Gothic"/>
          <w:b/>
          <w:b/>
          <w:sz w:val="10"/>
          <w:szCs w:val="10"/>
          <w:lang w:val="es-ES_tradnl"/>
        </w:rPr>
      </w:pPr>
      <w:r>
        <w:rPr>
          <w:rFonts w:cs="Century Gothic" w:ascii="Century Gothic" w:hAnsi="Century Gothic"/>
          <w:b/>
          <w:sz w:val="10"/>
          <w:szCs w:val="10"/>
          <w:lang w:val="es-ES_tradnl"/>
        </w:rPr>
      </w:r>
    </w:p>
    <w:tbl>
      <w:tblPr>
        <w:tblW w:w="964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74"/>
        <w:gridCol w:w="1853"/>
        <w:gridCol w:w="1418"/>
      </w:tblGrid>
      <w:tr>
        <w:trPr>
          <w:trHeight w:val="209" w:hRule="atLeast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DETALLE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FECHA LÍMITE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HORA LÍMITE</w:t>
            </w:r>
          </w:p>
        </w:tc>
      </w:tr>
      <w:tr>
        <w:trPr>
          <w:trHeight w:val="337" w:hRule="atLeast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4" w:name="_Hlk190338396"/>
            <w:bookmarkEnd w:id="4"/>
            <w:r>
              <w:rPr>
                <w:rFonts w:cs="Calibri" w:ascii="Century Gothic" w:hAnsi="Century Gothic"/>
                <w:color w:val="000000"/>
                <w:sz w:val="16"/>
                <w:szCs w:val="16"/>
                <w:lang w:val="es-ES_tradnl"/>
              </w:rPr>
              <w:t>ADQUISICIÓN DE CILINDROS PARA GNV DE DISTINTAS CAPACIDADES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color w:val="000000"/>
                <w:sz w:val="18"/>
                <w:szCs w:val="18"/>
              </w:rPr>
              <w:t>16/06/2026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color w:val="000000"/>
                <w:sz w:val="18"/>
                <w:szCs w:val="18"/>
              </w:rPr>
              <w:t>10:00</w:t>
            </w:r>
          </w:p>
        </w:tc>
      </w:tr>
    </w:tbl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INSTRUCCIONES GENERALES: </w:t>
      </w:r>
      <w:r>
        <w:rPr>
          <w:rFonts w:cs="Century Gothic" w:ascii="Century Gothic" w:hAnsi="Century Gothic"/>
          <w:sz w:val="18"/>
          <w:szCs w:val="18"/>
          <w:lang w:val="es-ES_tradnl"/>
        </w:rPr>
        <w:t>Los proponentes interesados deberán presentar documentos y propuesta técnica según lo establecido en el Documento Base de Contratación Directa de Bienes.</w:t>
      </w:r>
    </w:p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ind w:left="720" w:hanging="0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  <w:t xml:space="preserve">El Documento Base de Contratación Directa de Bienes estará disponible a partir del lunes 08 de junio de 2026 </w:t>
      </w:r>
      <w:r>
        <w:rPr>
          <w:rFonts w:cs="Century Gothic" w:ascii="Century Gothic" w:hAnsi="Century Gothic"/>
          <w:sz w:val="18"/>
          <w:szCs w:val="18"/>
        </w:rPr>
        <w:t>en</w:t>
      </w:r>
      <w:r>
        <w:rPr>
          <w:rFonts w:cs="Century Gothic" w:ascii="Century Gothic" w:hAnsi="Century Gothic"/>
          <w:sz w:val="18"/>
          <w:szCs w:val="18"/>
          <w:lang w:val="es-ES_tradnl"/>
        </w:rPr>
        <w:t xml:space="preserve"> las oficinas de la EEC-GNV ubicadas en la Calle Campos N.º 233 entre Av. Arce y 6 de Agosto, piso 4º, así también podrá ser descargado de las siguientes páginas web: </w:t>
      </w:r>
      <w:hyperlink r:id="rId3">
        <w:r>
          <w:rPr>
            <w:rStyle w:val="EnlacedeInternet"/>
            <w:rFonts w:cs="Century Gothic" w:ascii="Century Gothic" w:hAnsi="Century Gothic"/>
            <w:sz w:val="18"/>
            <w:szCs w:val="18"/>
            <w:lang w:val="es-ES_tradnl"/>
          </w:rPr>
          <w:t>https://www.eecgnv.gob.bo</w:t>
        </w:r>
      </w:hyperlink>
      <w:r>
        <w:rPr/>
        <w:t xml:space="preserve">  </w:t>
      </w:r>
      <w:r>
        <w:rPr>
          <w:rFonts w:cs="Century Gothic" w:ascii="Century Gothic" w:hAnsi="Century Gothic"/>
          <w:sz w:val="18"/>
          <w:szCs w:val="18"/>
          <w:lang w:val="es-ES_tradnl"/>
        </w:rPr>
        <w:t xml:space="preserve"> y </w:t>
      </w:r>
      <w:hyperlink r:id="rId4">
        <w:r>
          <w:rPr>
            <w:rStyle w:val="EnlacedeInternet"/>
            <w:rFonts w:cs="Century Gothic" w:ascii="Century Gothic" w:hAnsi="Century Gothic"/>
            <w:sz w:val="18"/>
            <w:szCs w:val="18"/>
            <w:lang w:val="es-ES_tradnl"/>
          </w:rPr>
          <w:t>https://www.mhe.gob.bo</w:t>
        </w:r>
      </w:hyperlink>
      <w:r>
        <w:rPr>
          <w:rStyle w:val="EnlacedeInternet"/>
          <w:rFonts w:cs="Century Gothic" w:ascii="Century Gothic" w:hAnsi="Century Gothic"/>
          <w:color w:val="000000"/>
          <w:sz w:val="18"/>
          <w:szCs w:val="18"/>
          <w:u w:val="none"/>
          <w:lang w:val="es-ES_tradnl"/>
        </w:rPr>
        <w:t xml:space="preserve">. </w:t>
      </w:r>
      <w:r>
        <w:rPr>
          <w:rFonts w:cs="Century Gothic" w:ascii="Century Gothic" w:hAnsi="Century Gothic"/>
          <w:sz w:val="14"/>
          <w:szCs w:val="14"/>
        </w:rPr>
        <w:t xml:space="preserve"> </w:t>
      </w:r>
    </w:p>
    <w:p>
      <w:pPr>
        <w:pStyle w:val="Normal"/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 xml:space="preserve">LUGAR DE PRESENTACIÓN: </w:t>
      </w:r>
      <w:r>
        <w:rPr>
          <w:rFonts w:cs="Century Gothic" w:ascii="Century Gothic" w:hAnsi="Century Gothic"/>
          <w:sz w:val="18"/>
          <w:szCs w:val="18"/>
          <w:lang w:val="es-ES_tradnl"/>
        </w:rPr>
        <w:t>Los interesados deberán presentar sus Propuestas en sobre cerrado en oficina central de la EEC-GNV ubicada en la Calle Campos Nº 233 entre Av. Arce y 6 de Agosto, zona San Jorge, La Paz – Bolivia.</w:t>
      </w:r>
    </w:p>
    <w:p>
      <w:pPr>
        <w:pStyle w:val="Prrafodelista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2"/>
        </w:numPr>
        <w:jc w:val="both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b/>
          <w:sz w:val="18"/>
          <w:szCs w:val="18"/>
          <w:lang w:val="es-ES_tradnl"/>
        </w:rPr>
        <w:t>CONSULTAS</w:t>
      </w:r>
      <w:r>
        <w:rPr>
          <w:rFonts w:cs="Century Gothic" w:ascii="Century Gothic" w:hAnsi="Century Gothic"/>
          <w:sz w:val="18"/>
          <w:szCs w:val="18"/>
          <w:lang w:val="es-ES_tradnl"/>
        </w:rPr>
        <w:t xml:space="preserve">: Los interesados podrán realizar consultas al correo: </w:t>
      </w:r>
      <w:hyperlink r:id="rId5">
        <w:r>
          <w:rPr>
            <w:rStyle w:val="EnlacedeInternet"/>
            <w:rFonts w:cs="Helvetica" w:ascii="Century Gothic" w:hAnsi="Century Gothic"/>
            <w:color w:val="000000"/>
            <w:sz w:val="18"/>
            <w:szCs w:val="18"/>
          </w:rPr>
          <w:t>lvelarde@eecgnv.gob.bo</w:t>
        </w:r>
      </w:hyperlink>
      <w:r>
        <w:rPr/>
        <w:t>.</w:t>
      </w:r>
    </w:p>
    <w:p>
      <w:pPr>
        <w:pStyle w:val="Prrafodelista"/>
        <w:rPr>
          <w:rFonts w:ascii="Century Gothic" w:hAnsi="Century Gothic" w:cs="Century Gothic"/>
          <w:sz w:val="18"/>
          <w:szCs w:val="18"/>
          <w:lang w:val="es-ES_tradnl"/>
        </w:rPr>
      </w:pPr>
      <w:r>
        <w:rPr>
          <w:rFonts w:cs="Century Gothic" w:ascii="Century Gothic" w:hAnsi="Century Gothic"/>
          <w:sz w:val="18"/>
          <w:szCs w:val="18"/>
          <w:lang w:val="es-ES_tradnl"/>
        </w:rPr>
      </w:r>
    </w:p>
    <w:p>
      <w:pPr>
        <w:pStyle w:val="Normal"/>
        <w:ind w:left="720" w:hanging="0"/>
        <w:jc w:val="center"/>
        <w:rPr>
          <w:rFonts w:ascii="Century Gothic" w:hAnsi="Century Gothic" w:cs="Century Gothic"/>
          <w:sz w:val="18"/>
          <w:szCs w:val="18"/>
        </w:rPr>
      </w:pPr>
      <w:r>
        <w:rPr>
          <w:rFonts w:cs="Century Gothic" w:ascii="Century Gothic" w:hAnsi="Century Gothic"/>
          <w:sz w:val="18"/>
          <w:szCs w:val="18"/>
        </w:rPr>
      </w:r>
    </w:p>
    <w:p>
      <w:pPr>
        <w:pStyle w:val="Normal"/>
        <w:ind w:left="720" w:hanging="0"/>
        <w:jc w:val="center"/>
        <w:rPr/>
      </w:pPr>
      <w:r>
        <w:rPr>
          <w:rFonts w:cs="Century Gothic" w:ascii="Century Gothic" w:hAnsi="Century Gothic"/>
          <w:sz w:val="18"/>
          <w:szCs w:val="18"/>
        </w:rPr>
        <w:t>La Paz, junio de 2026</w:t>
      </w:r>
    </w:p>
    <w:sectPr>
      <w:type w:val="nextPage"/>
      <w:pgSz w:w="12240" w:h="15840"/>
      <w:pgMar w:left="709" w:right="618" w:gutter="0" w:header="0" w:top="709" w:footer="0" w:bottom="3403"/>
      <w:pgBorders w:display="allPages" w:offsetFrom="text">
        <w:top w:val="threeDEngrave" w:sz="24" w:space="1" w:color="000000"/>
        <w:left w:val="threeDEngrave" w:sz="24" w:space="4" w:color="000000"/>
        <w:bottom w:val="threeDEmboss" w:sz="24" w:space="1" w:color="000000"/>
        <w:right w:val="threeDEmboss" w:sz="24" w:space="4" w:color="000000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Narrow">
    <w:charset w:val="00"/>
    <w:family w:val="swiss"/>
    <w:pitch w:val="variable"/>
  </w:font>
  <w:font w:name="Tahoma">
    <w:charset w:val="00"/>
    <w:family w:val="swiss"/>
    <w:pitch w:val="variable"/>
  </w:font>
  <w:font w:name="Century Gothic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Raavi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b/>
        <w:szCs w:val="18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s-B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s-ES" w:bidi="ar-SA" w:eastAsia="zh-CN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Arial Narrow" w:hAnsi="Arial Narrow" w:cs="Arial Narrow"/>
      <w:b/>
      <w:sz w:val="22"/>
    </w:rPr>
  </w:style>
  <w:style w:type="paragraph" w:styleId="Ttulo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ahoma" w:hAnsi="Tahoma" w:cs="Tahoma"/>
      <w:b/>
      <w:color w:val="FFFFFF"/>
      <w:sz w:val="18"/>
    </w:rPr>
  </w:style>
  <w:style w:type="paragraph" w:styleId="Ttulo7">
    <w:name w:val="Heading 7"/>
    <w:basedOn w:val="Normal"/>
    <w:next w:val="Normal"/>
    <w:qFormat/>
    <w:pPr>
      <w:keepNext w:val="true"/>
      <w:numPr>
        <w:ilvl w:val="6"/>
        <w:numId w:val="1"/>
      </w:numPr>
      <w:jc w:val="center"/>
      <w:outlineLvl w:val="6"/>
    </w:pPr>
    <w:rPr>
      <w:rFonts w:ascii="Tahoma" w:hAnsi="Tahoma" w:cs="Tahoma"/>
      <w:b/>
      <w:color w:val="FFFFFF"/>
      <w:sz w:val="20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b/>
      <w:sz w:val="18"/>
      <w:szCs w:val="18"/>
    </w:rPr>
  </w:style>
  <w:style w:type="character" w:styleId="WW8Num4z0">
    <w:name w:val="WW8Num4z0"/>
    <w:qFormat/>
    <w:rPr>
      <w:rFonts w:ascii="Century Gothic" w:hAnsi="Century Gothic" w:eastAsia="Times New Roman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Times New Roman" w:hAnsi="Times New Roman" w:eastAsia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>
      <w:rFonts w:ascii="Century Gothic" w:hAnsi="Century Gothic" w:eastAsia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Century Gothic" w:hAnsi="Century Gothic" w:eastAsia="Times New Roman" w:cs="Times New Roman"/>
      <w:b w:val="false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Raavi" w:hAnsi="Raavi" w:cs="Raavi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1z0">
    <w:name w:val="WW8Num21z0"/>
    <w:qFormat/>
    <w:rPr>
      <w:rFonts w:ascii="Century Gothic" w:hAnsi="Century Gothic" w:eastAsia="Times New Roman" w:cs="Times New Roman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3">
    <w:name w:val="WW8Num21z3"/>
    <w:qFormat/>
    <w:rPr>
      <w:rFonts w:ascii="Symbol" w:hAnsi="Symbol" w:cs="Symbol"/>
    </w:rPr>
  </w:style>
  <w:style w:type="character" w:styleId="WW8Num22z0">
    <w:name w:val="WW8Num22z0"/>
    <w:qFormat/>
    <w:rPr/>
  </w:style>
  <w:style w:type="character" w:styleId="Fuentedeprrafopredeter">
    <w:name w:val="Fuente de párrafo predeter."/>
    <w:qFormat/>
    <w:rPr/>
  </w:style>
  <w:style w:type="character" w:styleId="EnlacedeInternet">
    <w:name w:val="Enlace de Internet"/>
    <w:rPr>
      <w:color w:val="0000FF"/>
      <w:u w:val="single"/>
    </w:rPr>
  </w:style>
  <w:style w:type="character" w:styleId="EnlacedeInternetvisitado">
    <w:name w:val="Enlace de Internet visitado"/>
    <w:rPr>
      <w:color w:val="800080"/>
      <w:u w:val="single"/>
    </w:rPr>
  </w:style>
  <w:style w:type="character" w:styleId="TextodegloboCar">
    <w:name w:val="Texto de globo Car"/>
    <w:qFormat/>
    <w:rPr>
      <w:rFonts w:ascii="Tahoma" w:hAnsi="Tahoma" w:cs="Tahoma"/>
      <w:sz w:val="16"/>
      <w:szCs w:val="16"/>
    </w:rPr>
  </w:style>
  <w:style w:type="character" w:styleId="EncabezadoCar">
    <w:name w:val="Encabezado Car"/>
    <w:qFormat/>
    <w:rPr>
      <w:sz w:val="24"/>
      <w:szCs w:val="24"/>
    </w:rPr>
  </w:style>
  <w:style w:type="character" w:styleId="PiedepginaCar">
    <w:name w:val="Pie de página Car"/>
    <w:qFormat/>
    <w:rPr>
      <w:sz w:val="24"/>
      <w:szCs w:val="24"/>
    </w:rPr>
  </w:style>
  <w:style w:type="character" w:styleId="Mencinsinresolver1">
    <w:name w:val="Mención sin resolver1"/>
    <w:qFormat/>
    <w:rPr>
      <w:color w:val="605E5C"/>
      <w:shd w:fill="E1DFDD" w:val="clear"/>
    </w:rPr>
  </w:style>
  <w:style w:type="character" w:styleId="Mencinsinresolver">
    <w:name w:val="Mención sin resolver"/>
    <w:qFormat/>
    <w:rPr>
      <w:color w:val="605E5C"/>
      <w:shd w:fill="E1DFDD" w:val="clear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next w:val="Cuerpodetexto"/>
    <w:qFormat/>
    <w:pPr>
      <w:jc w:val="center"/>
    </w:pPr>
    <w:rPr>
      <w:u w:val="single"/>
      <w:lang w:val="es-BO"/>
    </w:rPr>
  </w:style>
  <w:style w:type="paragraph" w:styleId="CharCharCar">
    <w:name w:val="Char Char Car"/>
    <w:basedOn w:val="Normal"/>
    <w:qFormat/>
    <w:pPr>
      <w:widowControl w:val="false"/>
      <w:jc w:val="center"/>
    </w:pPr>
    <w:rPr>
      <w:rFonts w:ascii="Tahoma" w:hAnsi="Tahoma" w:eastAsia="SimSun;宋体" w:cs="Tahoma"/>
      <w:kern w:val="2"/>
      <w:lang w:val="en-US" w:eastAsia="zh-CN"/>
    </w:rPr>
  </w:style>
  <w:style w:type="paragraph" w:styleId="Textodeglobo">
    <w:name w:val="Texto de globo"/>
    <w:basedOn w:val="Normal"/>
    <w:qFormat/>
    <w:pPr/>
    <w:rPr>
      <w:rFonts w:ascii="Tahoma" w:hAnsi="Tahoma" w:cs="Tahoma"/>
      <w:sz w:val="16"/>
      <w:szCs w:val="16"/>
    </w:rPr>
  </w:style>
  <w:style w:type="paragraph" w:styleId="Prrafodelista">
    <w:name w:val="Párrafo de lista"/>
    <w:basedOn w:val="Normal"/>
    <w:qFormat/>
    <w:pPr>
      <w:ind w:left="708" w:hanging="0"/>
    </w:pPr>
    <w:rPr/>
  </w:style>
  <w:style w:type="paragraph" w:styleId="Sinespaciado">
    <w:name w:val="Sin espaciado"/>
    <w:qFormat/>
    <w:pPr>
      <w:widowControl/>
      <w:bidi w:val="0"/>
    </w:pPr>
    <w:rPr>
      <w:rFonts w:ascii="Calibri" w:hAnsi="Calibri" w:eastAsia="Calibri" w:cs="Calibri"/>
      <w:color w:val="auto"/>
      <w:sz w:val="22"/>
      <w:szCs w:val="22"/>
      <w:lang w:val="es-ES" w:bidi="ar-SA" w:eastAsia="zh-CN"/>
    </w:rPr>
  </w:style>
  <w:style w:type="paragraph" w:styleId="Cabeceraypie">
    <w:name w:val="Cabecera y pie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Cabecera">
    <w:name w:val="Header"/>
    <w:basedOn w:val="Normal"/>
    <w:pPr/>
    <w:rPr/>
  </w:style>
  <w:style w:type="paragraph" w:styleId="Piedepgina">
    <w:name w:val="Footer"/>
    <w:basedOn w:val="Normal"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eecgnv.gob.bo/" TargetMode="External"/><Relationship Id="rId4" Type="http://schemas.openxmlformats.org/officeDocument/2006/relationships/hyperlink" Target="https://www.mhe.gob.bo/" TargetMode="External"/><Relationship Id="rId5" Type="http://schemas.openxmlformats.org/officeDocument/2006/relationships/hyperlink" Target="mailto:lvelarde@eecgnv.gob.bo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0</TotalTime>
  <Application>LibreOffice/7.3.7.2$Linux_X86_64 LibreOffice_project/30$Build-2</Application>
  <AppVersion>15.0000</AppVersion>
  <Pages>1</Pages>
  <Words>318</Words>
  <Characters>1802</Characters>
  <CharactersWithSpaces>2106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2026-06-08T15:53:00Z</dcterms:created>
  <dc:creator>bzamora</dc:creator>
  <dc:description/>
  <cp:keywords/>
  <dc:language>es-BO</dc:language>
  <cp:lastModifiedBy>LUIS MAURICIO TROCHE GARCIA</cp:lastModifiedBy>
  <cp:lastPrinted>2026-05-26T16:17:00Z</cp:lastPrinted>
  <dcterms:modified xsi:type="dcterms:W3CDTF">2026-06-12T14:37:00Z</dcterms:modified>
  <cp:revision>3</cp:revision>
  <dc:subject/>
  <dc:title>La Paz, 04 de febrero de 2004</dc:title>
</cp:coreProperties>
</file>